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8DE5" w14:textId="1DB11825" w:rsidR="00387ECE" w:rsidRDefault="00CF6752">
      <w:pPr>
        <w:rPr>
          <w:lang w:val="ky-KG"/>
        </w:rPr>
      </w:pPr>
      <w:r>
        <w:rPr>
          <w:noProof/>
        </w:rPr>
        <w:drawing>
          <wp:inline distT="0" distB="0" distL="0" distR="0" wp14:anchorId="2DF80D19" wp14:editId="3BC7B164">
            <wp:extent cx="9220200" cy="6296025"/>
            <wp:effectExtent l="0" t="0" r="0" b="9525"/>
            <wp:docPr id="24325546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81139B1-CD06-48BD-B00A-67EA781929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9BD976A" w14:textId="405A858E" w:rsidR="006D3CC8" w:rsidRDefault="00CF6752">
      <w:pPr>
        <w:rPr>
          <w:lang w:val="ky-KG"/>
        </w:rPr>
      </w:pPr>
      <w:r>
        <w:rPr>
          <w:noProof/>
        </w:rPr>
        <w:lastRenderedPageBreak/>
        <w:drawing>
          <wp:inline distT="0" distB="0" distL="0" distR="0" wp14:anchorId="6BC27352" wp14:editId="7B56C1BB">
            <wp:extent cx="9210675" cy="6210300"/>
            <wp:effectExtent l="0" t="0" r="9525" b="0"/>
            <wp:docPr id="180614050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D158AD1-4339-480A-9EE1-CC72E0176A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3EAEABE" w14:textId="03214FA8" w:rsidR="006D3CC8" w:rsidRDefault="00CF6752">
      <w:pPr>
        <w:rPr>
          <w:lang w:val="ky-KG"/>
        </w:rPr>
      </w:pPr>
      <w:r>
        <w:rPr>
          <w:noProof/>
        </w:rPr>
        <w:drawing>
          <wp:inline distT="0" distB="0" distL="0" distR="0" wp14:anchorId="2FF98C9D" wp14:editId="1ECAFA63">
            <wp:extent cx="9234805" cy="6210300"/>
            <wp:effectExtent l="0" t="0" r="4445" b="0"/>
            <wp:docPr id="158762068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5F6E419-6758-4ACF-A572-C9A1D6595F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513DD9" w14:textId="7616F5EB" w:rsidR="006D3CC8" w:rsidRPr="006D3CC8" w:rsidRDefault="00CF6752">
      <w:pPr>
        <w:rPr>
          <w:lang w:val="ky-KG"/>
        </w:rPr>
      </w:pPr>
      <w:r>
        <w:rPr>
          <w:noProof/>
        </w:rPr>
        <w:drawing>
          <wp:inline distT="0" distB="0" distL="0" distR="0" wp14:anchorId="69E52850" wp14:editId="7EA76304">
            <wp:extent cx="9251950" cy="5982970"/>
            <wp:effectExtent l="0" t="0" r="6350" b="17780"/>
            <wp:docPr id="90898194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371BF9B-828B-4E83-BEB3-F9C123D8E7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6D3CC8" w:rsidRPr="006D3CC8" w:rsidSect="006D3CC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2F"/>
    <w:rsid w:val="0019332F"/>
    <w:rsid w:val="00283EA6"/>
    <w:rsid w:val="00387ECE"/>
    <w:rsid w:val="003D4FEF"/>
    <w:rsid w:val="00432E56"/>
    <w:rsid w:val="00550E36"/>
    <w:rsid w:val="00654FC1"/>
    <w:rsid w:val="006D3CC8"/>
    <w:rsid w:val="00843D82"/>
    <w:rsid w:val="00884243"/>
    <w:rsid w:val="00931274"/>
    <w:rsid w:val="00932FFB"/>
    <w:rsid w:val="00A261F0"/>
    <w:rsid w:val="00C44259"/>
    <w:rsid w:val="00CF485A"/>
    <w:rsid w:val="00CF6752"/>
    <w:rsid w:val="00DE5FC2"/>
    <w:rsid w:val="00E07964"/>
    <w:rsid w:val="00E24BBB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A452"/>
  <w15:chartTrackingRefBased/>
  <w15:docId w15:val="{2F3F27C3-FCFD-4DF9-8DC9-D3208A46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.7.12\vibor_NSC\Selectively_Syrvey\&#1048;&#1085;&#1076;&#1077;&#1082;&#1089;%20&#1076;&#1086;&#1074;&#1077;&#1088;&#1080;&#1103;\&#1044;&#1048;&#1053;&#1040;&#1052;&#1048;&#1050;&#1040;%20&#1048;&#1044;&#1053;\!&#1044;&#1080;&#1085;&#1072;&#1084;&#1080;&#1082;&#1072;%20&#1048;&#1044;&#1053;%20&#1089;&#1090;&#1088;&#1091;&#1082;&#1090;&#1091;&#1088;&#1072;%202025(1)%20&#1075;&#1086;&#1076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.7.12\vibor_NSC\Selectively_Syrvey\&#1048;&#1085;&#1076;&#1077;&#1082;&#1089;%20&#1076;&#1086;&#1074;&#1077;&#1088;&#1080;&#1103;\&#1044;&#1048;&#1053;&#1040;&#1052;&#1048;&#1050;&#1040;%20&#1048;&#1044;&#1053;\!&#1044;&#1080;&#1085;&#1072;&#1084;&#1080;&#1082;&#1072;%20&#1048;&#1044;&#1053;%20&#1089;&#1090;&#1088;&#1091;&#1082;&#1090;&#1091;&#1088;&#1072;%202025(1)%20&#1075;&#1086;&#1076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.7.12\vibor_NSC\Selectively_Syrvey\&#1048;&#1085;&#1076;&#1077;&#1082;&#1089;%20&#1076;&#1086;&#1074;&#1077;&#1088;&#1080;&#1103;\&#1044;&#1048;&#1053;&#1040;&#1052;&#1048;&#1050;&#1040;%20&#1048;&#1044;&#1053;\!&#1044;&#1080;&#1085;&#1072;&#1084;&#1080;&#1082;&#1072;%20&#1048;&#1044;&#1053;%20&#1089;&#1090;&#1088;&#1091;&#1082;&#1090;&#1091;&#1088;&#1072;%202025(1)%20&#1075;&#1086;&#1076;&#107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.7.12\vibor_NSC\Selectively_Syrvey\&#1048;&#1085;&#1076;&#1077;&#1082;&#1089;%20&#1076;&#1086;&#1074;&#1077;&#1088;&#1080;&#1103;\&#1044;&#1048;&#1053;&#1040;&#1052;&#1048;&#1050;&#1040;%20&#1048;&#1044;&#1053;\!&#1044;&#1080;&#1085;&#1072;&#1084;&#1080;&#1082;&#1072;%20&#1048;&#1044;&#1053;%20&#1089;&#1090;&#1088;&#1091;&#1082;&#1090;&#1091;&#1088;&#1072;%202025(1)%20&#1075;&#1086;&#1076;&#107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Индекс доверия населения, I полугодие 2026г.</a:t>
            </a:r>
          </a:p>
        </c:rich>
      </c:tx>
      <c:layout>
        <c:manualLayout>
          <c:xMode val="edge"/>
          <c:yMode val="edge"/>
          <c:x val="0.30922217202357904"/>
          <c:y val="7.5492076349760364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KG"/>
        </a:p>
      </c:txPr>
    </c:title>
    <c:autoTitleDeleted val="0"/>
    <c:plotArea>
      <c:layout>
        <c:manualLayout>
          <c:layoutTarget val="inner"/>
          <c:xMode val="edge"/>
          <c:yMode val="edge"/>
          <c:x val="0.48493702601449984"/>
          <c:y val="5.7912730651482475E-2"/>
          <c:w val="0.51506297398550016"/>
          <c:h val="0.91939946235918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'Графики-рейтинг (1полуг.206)'!$C$19</c:f>
              <c:strCache>
                <c:ptCount val="1"/>
                <c:pt idx="0">
                  <c:v>ИДН 1</c:v>
                </c:pt>
              </c:strCache>
            </c:strRef>
          </c:tx>
          <c:spPr>
            <a:solidFill>
              <a:srgbClr val="6792C5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DB0E-4AEC-8C10-9F929842BED3}"/>
              </c:ext>
            </c:extLst>
          </c:dPt>
          <c:dPt>
            <c:idx val="13"/>
            <c:invertIfNegative val="0"/>
            <c:bubble3D val="0"/>
            <c:spPr>
              <a:solidFill>
                <a:srgbClr val="648FC4"/>
              </a:solidFill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DB0E-4AEC-8C10-9F929842BED3}"/>
              </c:ext>
            </c:extLst>
          </c:dPt>
          <c:dPt>
            <c:idx val="14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DB0E-4AEC-8C10-9F929842BED3}"/>
              </c:ext>
            </c:extLst>
          </c:dPt>
          <c:dPt>
            <c:idx val="1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DB0E-4AEC-8C10-9F929842BED3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DB0E-4AEC-8C10-9F929842BED3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DB0E-4AEC-8C10-9F929842BED3}"/>
              </c:ext>
            </c:extLst>
          </c:dPt>
          <c:dPt>
            <c:idx val="23"/>
            <c:invertIfNegative val="0"/>
            <c:bubble3D val="0"/>
            <c:spPr>
              <a:solidFill>
                <a:srgbClr val="6792C5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DB0E-4AEC-8C10-9F929842BED3}"/>
              </c:ext>
            </c:extLst>
          </c:dPt>
          <c:dLbls>
            <c:dLbl>
              <c:idx val="1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14DA583-645F-4390-9BD3-FA4F0F7037F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000" b="1">
                          <a:solidFill>
                            <a:srgbClr val="FF000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B0E-4AEC-8C10-9F929842BED3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D61576A2-DEA5-411F-92C6-266FE049D898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B0E-4AEC-8C10-9F929842BED3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89B4350A-7CDF-40AE-B970-20E30E931FA9}" type="VALUE">
                      <a:rPr lang="en-US">
                        <a:solidFill>
                          <a:srgbClr val="FF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B0E-4AEC-8C10-9F929842BE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'Графики-рейтинг (1полуг.206)'!$B$20:$B$52</c:f>
              <c:strCache>
                <c:ptCount val="33"/>
                <c:pt idx="0">
                  <c:v>Министерство здравоохранения Кыргызской Республики</c:v>
                </c:pt>
                <c:pt idx="1">
                  <c:v>Министерство строительства, архитектуры и жилищно-коммунального хозяйства Кыргызской Республики</c:v>
                </c:pt>
                <c:pt idx="2">
                  <c:v>Государственная таможенная служба при Кабинете министров Кыргызской Республики</c:v>
                </c:pt>
                <c:pt idx="3">
                  <c:v>Министерство природных ресурсов, экологии и технического надзора Кыргызской Республики</c:v>
                </c:pt>
                <c:pt idx="4">
                  <c:v>Государственное агентство по управлению государственным имуществом при Кабинете министров Кыргызской Республики</c:v>
                </c:pt>
                <c:pt idx="5">
                  <c:v>Министерство труда, социального обеспечения и миграции Кыргызской Республики</c:v>
                </c:pt>
                <c:pt idx="6">
                  <c:v>Министерство науки, высшего образования и инноваций Кыргызской Республики</c:v>
                </c:pt>
                <c:pt idx="7">
                  <c:v>Министерство водных ресурсов, сельского хозяйства и перерабатывающей промышленности КР</c:v>
                </c:pt>
                <c:pt idx="8">
                  <c:v>Государственная налоговая служба при Кабинете министров Кыргызской Республики</c:v>
                </c:pt>
                <c:pt idx="9">
                  <c:v>Министерство финансов Кыргызской Республики</c:v>
                </c:pt>
                <c:pt idx="10">
                  <c:v>Министерство экономики и коммерции Кыргызской Республики</c:v>
                </c:pt>
                <c:pt idx="11">
                  <c:v>Национальное агентство по инвестициям при Президенте Кыргызской Республики</c:v>
                </c:pt>
                <c:pt idx="12">
                  <c:v>Министерство энергетики Кыргызской Республики</c:v>
                </c:pt>
                <c:pt idx="13">
                  <c:v>Министерство транспорта и коммуникаций Кыргызской Республики</c:v>
                </c:pt>
                <c:pt idx="14">
                  <c:v>Государственное агентство по защите персональных данных  при Кабинете министров Кыргызской Республики</c:v>
                </c:pt>
                <c:pt idx="15">
                  <c:v>Министерство внутренних дел Кыргызской Республики</c:v>
                </c:pt>
                <c:pt idx="16">
                  <c:v>Кыргызская Республика</c:v>
                </c:pt>
                <c:pt idx="17">
                  <c:v>Социальный фонд Кыргызской Республики при Кабинете министров Кыргызской Республики</c:v>
                </c:pt>
                <c:pt idx="18">
                  <c:v>Министерство просвещения Кыргызской Республики</c:v>
                </c:pt>
                <c:pt idx="19">
                  <c:v>Государственное агентство по делам государственной службы и местного самоуправления при Кабинете министров Кыргызской Республики</c:v>
                </c:pt>
                <c:pt idx="20">
                  <c:v>Министерство юстиции Кыргызской Республики</c:v>
                </c:pt>
                <c:pt idx="21">
                  <c:v>Исполнительные органы местного самоуправления  Кыргызской Республики</c:v>
                </c:pt>
                <c:pt idx="22">
                  <c:v>Государственное агентство по развитию туризма при Кабинете министров Кыргызской Республики</c:v>
                </c:pt>
                <c:pt idx="23">
                  <c:v>Министерство культуры, информации и молодежной политики Кыргызской Республики</c:v>
                </c:pt>
                <c:pt idx="24">
                  <c:v>Государственное агентство гражданской авиации при Кабинете министров Кыргызской Республики</c:v>
                </c:pt>
                <c:pt idx="25">
                  <c:v>Министерство иностранных дел Кыргызской Республики</c:v>
                </c:pt>
                <c:pt idx="26">
                  <c:v>Управление делами Президента Кыргызской Республики</c:v>
                </c:pt>
                <c:pt idx="27">
                  <c:v>Государственное агентство физической культуры и спорта при Кабинете министров Кыргызской Республики</c:v>
                </c:pt>
                <c:pt idx="28">
                  <c:v>Министерство обороны Кыргызской Республики</c:v>
                </c:pt>
                <c:pt idx="29">
                  <c:v>Министерство чрезвычайных ситуаций Кыргызской Республики</c:v>
                </c:pt>
                <c:pt idx="30">
                  <c:v>Местные государственные администрации</c:v>
                </c:pt>
                <c:pt idx="31">
                  <c:v>Исполнительные органы местного самоуправления городов областно</c:v>
                </c:pt>
                <c:pt idx="32">
                  <c:v>Аппараты Полномочных представителей Президента Кыргызской Республики</c:v>
                </c:pt>
              </c:strCache>
            </c:strRef>
          </c:cat>
          <c:val>
            <c:numRef>
              <c:f>'Графики-рейтинг (1полуг.206)'!$C$20:$C$52</c:f>
              <c:numCache>
                <c:formatCode>###0.0</c:formatCode>
                <c:ptCount val="33"/>
                <c:pt idx="0">
                  <c:v>34.299999999999997</c:v>
                </c:pt>
                <c:pt idx="1">
                  <c:v>35.700000000000003</c:v>
                </c:pt>
                <c:pt idx="2">
                  <c:v>36</c:v>
                </c:pt>
                <c:pt idx="3">
                  <c:v>37.799999999999997</c:v>
                </c:pt>
                <c:pt idx="4">
                  <c:v>37.9</c:v>
                </c:pt>
                <c:pt idx="5">
                  <c:v>38.299999999999997</c:v>
                </c:pt>
                <c:pt idx="6">
                  <c:v>38.299999999999997</c:v>
                </c:pt>
                <c:pt idx="7">
                  <c:v>39.299999999999997</c:v>
                </c:pt>
                <c:pt idx="8">
                  <c:v>41.2</c:v>
                </c:pt>
                <c:pt idx="9">
                  <c:v>41.5</c:v>
                </c:pt>
                <c:pt idx="10">
                  <c:v>41.8</c:v>
                </c:pt>
                <c:pt idx="11">
                  <c:v>42</c:v>
                </c:pt>
                <c:pt idx="12">
                  <c:v>42.1</c:v>
                </c:pt>
                <c:pt idx="13">
                  <c:v>43.2</c:v>
                </c:pt>
                <c:pt idx="14">
                  <c:v>43.9</c:v>
                </c:pt>
                <c:pt idx="15">
                  <c:v>44.2</c:v>
                </c:pt>
                <c:pt idx="16">
                  <c:v>44.9</c:v>
                </c:pt>
                <c:pt idx="17">
                  <c:v>45.2</c:v>
                </c:pt>
                <c:pt idx="18">
                  <c:v>45.5</c:v>
                </c:pt>
                <c:pt idx="19">
                  <c:v>45.7</c:v>
                </c:pt>
                <c:pt idx="20">
                  <c:v>45.9</c:v>
                </c:pt>
                <c:pt idx="21">
                  <c:v>46.6</c:v>
                </c:pt>
                <c:pt idx="22">
                  <c:v>46.9</c:v>
                </c:pt>
                <c:pt idx="23">
                  <c:v>49.1</c:v>
                </c:pt>
                <c:pt idx="24">
                  <c:v>49.8</c:v>
                </c:pt>
                <c:pt idx="25">
                  <c:v>50.3</c:v>
                </c:pt>
                <c:pt idx="26">
                  <c:v>51.3</c:v>
                </c:pt>
                <c:pt idx="27">
                  <c:v>52.2</c:v>
                </c:pt>
                <c:pt idx="28">
                  <c:v>55.6</c:v>
                </c:pt>
                <c:pt idx="29">
                  <c:v>56.6</c:v>
                </c:pt>
                <c:pt idx="30">
                  <c:v>58.5</c:v>
                </c:pt>
                <c:pt idx="31">
                  <c:v>58.7</c:v>
                </c:pt>
                <c:pt idx="32">
                  <c:v>59.6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B0E-4AEC-8C10-9F929842B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549435560"/>
        <c:axId val="549438696"/>
      </c:barChart>
      <c:catAx>
        <c:axId val="549435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G"/>
          </a:p>
        </c:txPr>
        <c:crossAx val="549438696"/>
        <c:crosses val="autoZero"/>
        <c:auto val="1"/>
        <c:lblAlgn val="l"/>
        <c:lblOffset val="100"/>
        <c:noMultiLvlLbl val="0"/>
      </c:catAx>
      <c:valAx>
        <c:axId val="54943869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crossAx val="549435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Индекс </a:t>
            </a: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"</a:t>
            </a: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Личное доверие гражданина к государству", </a:t>
            </a: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полугодие 2026г.</a:t>
            </a:r>
          </a:p>
        </c:rich>
      </c:tx>
      <c:layout>
        <c:manualLayout>
          <c:xMode val="edge"/>
          <c:yMode val="edge"/>
          <c:x val="0.19375460635301969"/>
          <c:y val="2.28206884300906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KG"/>
        </a:p>
      </c:txPr>
    </c:title>
    <c:autoTitleDeleted val="0"/>
    <c:plotArea>
      <c:layout>
        <c:manualLayout>
          <c:layoutTarget val="inner"/>
          <c:xMode val="edge"/>
          <c:yMode val="edge"/>
          <c:x val="0.48057687156347839"/>
          <c:y val="8.3796918023283887E-2"/>
          <c:w val="0.48278192647681045"/>
          <c:h val="0.89774938408772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'Графики-рейтинг (1полуг.206)'!$D$65</c:f>
              <c:strCache>
                <c:ptCount val="1"/>
                <c:pt idx="0">
                  <c:v>ИЛД 2</c:v>
                </c:pt>
              </c:strCache>
            </c:strRef>
          </c:tx>
          <c:spPr>
            <a:solidFill>
              <a:srgbClr val="648FC4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1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02ED-4162-8134-1779237583F4}"/>
              </c:ext>
            </c:extLst>
          </c:dPt>
          <c:dPt>
            <c:idx val="13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02ED-4162-8134-1779237583F4}"/>
              </c:ext>
            </c:extLst>
          </c:dPt>
          <c:dPt>
            <c:idx val="14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02ED-4162-8134-1779237583F4}"/>
              </c:ext>
            </c:extLst>
          </c:dPt>
          <c:dPt>
            <c:idx val="15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02ED-4162-8134-1779237583F4}"/>
              </c:ext>
            </c:extLst>
          </c:dPt>
          <c:dPt>
            <c:idx val="1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02ED-4162-8134-1779237583F4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02ED-4162-8134-1779237583F4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02ED-4162-8134-1779237583F4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02ED-4162-8134-1779237583F4}"/>
              </c:ext>
            </c:extLst>
          </c:dPt>
          <c:dPt>
            <c:idx val="22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E-02ED-4162-8134-1779237583F4}"/>
              </c:ext>
            </c:extLst>
          </c:dPt>
          <c:dLbls>
            <c:dLbl>
              <c:idx val="1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0AE4451-AD01-46B6-AC66-FE7B56C9E25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000" b="1">
                          <a:solidFill>
                            <a:srgbClr val="FF000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2ED-4162-8134-1779237583F4}"/>
                </c:ext>
              </c:extLst>
            </c:dLbl>
            <c:dLbl>
              <c:idx val="1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3017392-418B-4389-98AD-4CE7A21C5F75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000" b="1">
                          <a:solidFill>
                            <a:sysClr val="windowText" lastClr="00000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2ED-4162-8134-1779237583F4}"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en-US" sz="1000" b="1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02ED-4162-8134-1779237583F4}"/>
                </c:ext>
              </c:extLst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02ED-4162-8134-1779237583F4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0CDAE12F-9238-4ACE-AA5C-E8B5CC78D691}" type="VALUE">
                      <a:rPr lang="en-US">
                        <a:solidFill>
                          <a:srgbClr val="FF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2ED-4162-8134-1779237583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'Графики-рейтинг (1полуг.206)'!$B$66:$B$98</c:f>
              <c:strCache>
                <c:ptCount val="33"/>
                <c:pt idx="0">
                  <c:v>Министерство природных ресурсов, экологии и технического надзора Кыргызской Республики</c:v>
                </c:pt>
                <c:pt idx="1">
                  <c:v>Министерство строительства, архитектуры и жилищно-коммунального хозяйства Кыргызской Республики</c:v>
                </c:pt>
                <c:pt idx="2">
                  <c:v>Государственное агентство по управлению государственным имуществом при Кабинете министров Кыргызской Республики</c:v>
                </c:pt>
                <c:pt idx="3">
                  <c:v>Министерство труда, социального обеспечения и миграции Кыргызской Республики</c:v>
                </c:pt>
                <c:pt idx="4">
                  <c:v>Министерство здравоохранения Кыргызской Республики</c:v>
                </c:pt>
                <c:pt idx="5">
                  <c:v>Государственная таможенная служба при Кабинете министров Кыргызской Республики</c:v>
                </c:pt>
                <c:pt idx="6">
                  <c:v>Министерство водных ресурсов, сельского хозяйства и перерабатывающей промышленности КР</c:v>
                </c:pt>
                <c:pt idx="7">
                  <c:v>Министерство науки, высшего образования и инноваций Кыргызской Республики</c:v>
                </c:pt>
                <c:pt idx="8">
                  <c:v>Национальное агентство по инвестициям при Президенте Кыргызской Республики</c:v>
                </c:pt>
                <c:pt idx="9">
                  <c:v>Министерство экономики и коммерции Кыргызской Республики</c:v>
                </c:pt>
                <c:pt idx="10">
                  <c:v>Государственная налоговая служба при Кабинете министров Кыргызской Республики</c:v>
                </c:pt>
                <c:pt idx="11">
                  <c:v>Министерство финансов Кыргызской Республики</c:v>
                </c:pt>
                <c:pt idx="12">
                  <c:v>Государственное агентство по защите персональных данных  при Кабинете министров Кыргызской Республики</c:v>
                </c:pt>
                <c:pt idx="13">
                  <c:v>Министерство транспорта и коммуникаций Кыргызской Республики</c:v>
                </c:pt>
                <c:pt idx="14">
                  <c:v>Министерство энергетики Кыргызской Республики</c:v>
                </c:pt>
                <c:pt idx="15">
                  <c:v>Министерство просвещения Кыргызской Республики</c:v>
                </c:pt>
                <c:pt idx="16">
                  <c:v>Исполнительные органы местного самоуправления  Кыргызской Республики</c:v>
                </c:pt>
                <c:pt idx="17">
                  <c:v>Кыргызская Республика</c:v>
                </c:pt>
                <c:pt idx="18">
                  <c:v>Государственное агентство по делам государственной службы и местного самоуправления при Кабинете министров Кыргызской Республики</c:v>
                </c:pt>
                <c:pt idx="19">
                  <c:v>Социальный фонд Кыргызской Республики при Кабинете министров Кыргызской Республики</c:v>
                </c:pt>
                <c:pt idx="20">
                  <c:v>Министерство юстиции Кыргызской Республики</c:v>
                </c:pt>
                <c:pt idx="21">
                  <c:v>Министерство внутренних дел Кыргызской Республики</c:v>
                </c:pt>
                <c:pt idx="22">
                  <c:v>Государственное агентство по развитию туризма при Кабинете министров Кыргызской Республики</c:v>
                </c:pt>
                <c:pt idx="23">
                  <c:v>Министерство культуры, информации и молодежной политики Кыргызской Республики</c:v>
                </c:pt>
                <c:pt idx="24">
                  <c:v>Государственное агентство гражданской авиации при Кабинете министров Кыргызской Республики</c:v>
                </c:pt>
                <c:pt idx="25">
                  <c:v>Министерство иностранных дел Кыргызской Республики</c:v>
                </c:pt>
                <c:pt idx="26">
                  <c:v>Управление делами Президента Кыргызской Республики</c:v>
                </c:pt>
                <c:pt idx="27">
                  <c:v>Государственное агентство физической культуры и спорта при Кабинете министров Кыргызской Республики</c:v>
                </c:pt>
                <c:pt idx="28">
                  <c:v>Местные государственные администрации</c:v>
                </c:pt>
                <c:pt idx="29">
                  <c:v>Министерство чрезвычайных ситуаций Кыргызской Республики</c:v>
                </c:pt>
                <c:pt idx="30">
                  <c:v>Исполнительные органы местного самоуправления городов областно</c:v>
                </c:pt>
                <c:pt idx="31">
                  <c:v>Министерство обороны Кыргызской Республики</c:v>
                </c:pt>
                <c:pt idx="32">
                  <c:v>Аппараты Полномочных представителей Президента Кыргызской Республики</c:v>
                </c:pt>
              </c:strCache>
            </c:strRef>
          </c:cat>
          <c:val>
            <c:numRef>
              <c:f>'Графики-рейтинг (1полуг.206)'!$D$66:$D$98</c:f>
              <c:numCache>
                <c:formatCode>###0.0</c:formatCode>
                <c:ptCount val="33"/>
                <c:pt idx="0">
                  <c:v>41.9</c:v>
                </c:pt>
                <c:pt idx="1">
                  <c:v>42.5</c:v>
                </c:pt>
                <c:pt idx="2">
                  <c:v>42.8</c:v>
                </c:pt>
                <c:pt idx="3">
                  <c:v>43.1</c:v>
                </c:pt>
                <c:pt idx="4">
                  <c:v>43.2</c:v>
                </c:pt>
                <c:pt idx="5">
                  <c:v>44</c:v>
                </c:pt>
                <c:pt idx="6">
                  <c:v>44.3</c:v>
                </c:pt>
                <c:pt idx="7">
                  <c:v>44.6</c:v>
                </c:pt>
                <c:pt idx="8">
                  <c:v>47.2</c:v>
                </c:pt>
                <c:pt idx="9">
                  <c:v>47.5</c:v>
                </c:pt>
                <c:pt idx="10">
                  <c:v>47.6</c:v>
                </c:pt>
                <c:pt idx="11">
                  <c:v>47.7</c:v>
                </c:pt>
                <c:pt idx="12">
                  <c:v>47.8</c:v>
                </c:pt>
                <c:pt idx="13">
                  <c:v>48</c:v>
                </c:pt>
                <c:pt idx="14">
                  <c:v>48.8</c:v>
                </c:pt>
                <c:pt idx="15">
                  <c:v>49.2</c:v>
                </c:pt>
                <c:pt idx="16">
                  <c:v>49.3</c:v>
                </c:pt>
                <c:pt idx="17">
                  <c:v>49.8</c:v>
                </c:pt>
                <c:pt idx="18">
                  <c:v>50.1</c:v>
                </c:pt>
                <c:pt idx="19">
                  <c:v>50.5</c:v>
                </c:pt>
                <c:pt idx="20">
                  <c:v>50.6</c:v>
                </c:pt>
                <c:pt idx="21">
                  <c:v>50.9</c:v>
                </c:pt>
                <c:pt idx="22">
                  <c:v>51.1</c:v>
                </c:pt>
                <c:pt idx="23">
                  <c:v>53</c:v>
                </c:pt>
                <c:pt idx="24">
                  <c:v>53.6</c:v>
                </c:pt>
                <c:pt idx="25">
                  <c:v>54.8</c:v>
                </c:pt>
                <c:pt idx="26">
                  <c:v>54.9</c:v>
                </c:pt>
                <c:pt idx="27">
                  <c:v>55.4</c:v>
                </c:pt>
                <c:pt idx="28">
                  <c:v>59.8</c:v>
                </c:pt>
                <c:pt idx="29">
                  <c:v>60.1</c:v>
                </c:pt>
                <c:pt idx="30">
                  <c:v>60.7</c:v>
                </c:pt>
                <c:pt idx="31">
                  <c:v>60.8</c:v>
                </c:pt>
                <c:pt idx="32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02ED-4162-8134-1779237583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545548984"/>
        <c:axId val="545545064"/>
      </c:barChart>
      <c:catAx>
        <c:axId val="545548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G"/>
          </a:p>
        </c:txPr>
        <c:crossAx val="545545064"/>
        <c:crosses val="autoZero"/>
        <c:auto val="1"/>
        <c:lblAlgn val="ctr"/>
        <c:lblOffset val="100"/>
        <c:noMultiLvlLbl val="0"/>
      </c:catAx>
      <c:valAx>
        <c:axId val="545545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crossAx val="545548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G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Индекс "Личное представление об уровне коррупции", </a:t>
            </a: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полугодие 2026г.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KG"/>
        </a:p>
      </c:txPr>
    </c:title>
    <c:autoTitleDeleted val="0"/>
    <c:plotArea>
      <c:layout>
        <c:manualLayout>
          <c:layoutTarget val="inner"/>
          <c:xMode val="edge"/>
          <c:yMode val="edge"/>
          <c:x val="0.48966393379485607"/>
          <c:y val="5.5082417599298238E-2"/>
          <c:w val="0.51033606620514393"/>
          <c:h val="0.930150852637595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'Графики-рейтинг (1полуг.206)'!$E$104</c:f>
              <c:strCache>
                <c:ptCount val="1"/>
                <c:pt idx="0">
                  <c:v>ИУК 3</c:v>
                </c:pt>
              </c:strCache>
            </c:strRef>
          </c:tx>
          <c:spPr>
            <a:solidFill>
              <a:srgbClr val="6792C5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1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1BD-497B-82AC-BFF0DF396589}"/>
              </c:ext>
            </c:extLst>
          </c:dPt>
          <c:dPt>
            <c:idx val="1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11BD-497B-82AC-BFF0DF396589}"/>
              </c:ext>
            </c:extLst>
          </c:dPt>
          <c:dPt>
            <c:idx val="13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1BD-497B-82AC-BFF0DF396589}"/>
              </c:ext>
            </c:extLst>
          </c:dPt>
          <c:dPt>
            <c:idx val="14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1BD-497B-82AC-BFF0DF396589}"/>
              </c:ext>
            </c:extLst>
          </c:dPt>
          <c:dPt>
            <c:idx val="15"/>
            <c:invertIfNegative val="0"/>
            <c:bubble3D val="0"/>
            <c:spPr>
              <a:solidFill>
                <a:srgbClr val="6792C5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11BD-497B-82AC-BFF0DF396589}"/>
              </c:ext>
            </c:extLst>
          </c:dPt>
          <c:dPt>
            <c:idx val="1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11BD-497B-82AC-BFF0DF396589}"/>
              </c:ext>
            </c:extLst>
          </c:dPt>
          <c:dLbls>
            <c:dLbl>
              <c:idx val="1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FA565C7-5309-4FAF-9627-152183F10897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000" b="1">
                          <a:solidFill>
                            <a:srgbClr val="FF000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1BD-497B-82AC-BFF0DF396589}"/>
                </c:ext>
              </c:extLst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1BD-497B-82AC-BFF0DF396589}"/>
                </c:ext>
              </c:extLst>
            </c:dLbl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11BD-497B-82AC-BFF0DF396589}"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en-US" sz="1000" b="1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11BD-497B-82AC-BFF0DF396589}"/>
                </c:ext>
              </c:extLst>
            </c:dLbl>
            <c:dLbl>
              <c:idx val="15"/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11BD-497B-82AC-BFF0DF396589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D5E30223-A73E-474A-BA90-9C044956EA49}" type="VALUE">
                      <a:rPr lang="en-US">
                        <a:solidFill>
                          <a:srgbClr val="FF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1BD-497B-82AC-BFF0DF3965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'Графики-рейтинг (1полуг.206)'!$B$105:$B$137</c:f>
              <c:strCache>
                <c:ptCount val="33"/>
                <c:pt idx="0">
                  <c:v>Министерство здравоохранения Кыргызской Республики</c:v>
                </c:pt>
                <c:pt idx="1">
                  <c:v>Государственная таможенная служба при Кабинете министров Кыргызской Республики</c:v>
                </c:pt>
                <c:pt idx="2">
                  <c:v>Министерство строительства, архитектуры и жилищно-коммунального хозяйства Кыргызской Республики</c:v>
                </c:pt>
                <c:pt idx="3">
                  <c:v>Министерство науки, высшего образования и инноваций Кыргызской Республики</c:v>
                </c:pt>
                <c:pt idx="4">
                  <c:v>Государственная налоговая служба при Кабинете министров Кыргызской Республики</c:v>
                </c:pt>
                <c:pt idx="5">
                  <c:v>Государственное агентство по управлению государственным имуществом при Кабинете министров Кыргызской Республики</c:v>
                </c:pt>
                <c:pt idx="6">
                  <c:v>Министерство финансов Кыргызской Республики</c:v>
                </c:pt>
                <c:pt idx="7">
                  <c:v>Министерство труда, социального обеспечения и миграции Кыргызской Республики</c:v>
                </c:pt>
                <c:pt idx="8">
                  <c:v>Министерство энергетики Кыргызской Республики</c:v>
                </c:pt>
                <c:pt idx="9">
                  <c:v>Министерство внутренних дел Кыргызской Республики</c:v>
                </c:pt>
                <c:pt idx="10">
                  <c:v>Министерство водных ресурсов, сельского хозяйства и перерабатывающей промышленности КР</c:v>
                </c:pt>
                <c:pt idx="11">
                  <c:v>Министерство экономики и коммерции Кыргызской Республики</c:v>
                </c:pt>
                <c:pt idx="12">
                  <c:v>Министерство природных ресурсов, экологии и технического надзора Кыргызской Республики</c:v>
                </c:pt>
                <c:pt idx="13">
                  <c:v>Национальное агентство по инвестициям при Президенте Кыргызской Республики</c:v>
                </c:pt>
                <c:pt idx="14">
                  <c:v>Министерство транспорта и коммуникаций Кыргызской Республики</c:v>
                </c:pt>
                <c:pt idx="15">
                  <c:v>Социальный фонд Кыргызской Республики при Кабинете министров Кыргызской Республики</c:v>
                </c:pt>
                <c:pt idx="16">
                  <c:v>Кыргызская Республика</c:v>
                </c:pt>
                <c:pt idx="17">
                  <c:v>Исполнительные органы местного самоуправления  Кыргызской Республики</c:v>
                </c:pt>
                <c:pt idx="18">
                  <c:v>Государственное агентство по защите персональных данных  при Кабинете министров Кыргызской Республики</c:v>
                </c:pt>
                <c:pt idx="19">
                  <c:v>Министерство просвещения Кыргызской Республики</c:v>
                </c:pt>
                <c:pt idx="20">
                  <c:v>Министерство юстиции Кыргызской Республики</c:v>
                </c:pt>
                <c:pt idx="21">
                  <c:v>Государственное агентство по делам государственной службы и местного самоуправления при Кабинете министров Кыргызской Республики</c:v>
                </c:pt>
                <c:pt idx="22">
                  <c:v>Государственное агентство по развитию туризма при Кабинете министров Кыргызской Республики</c:v>
                </c:pt>
                <c:pt idx="23">
                  <c:v>Министерство культуры, информации и молодежной политики Кыргызской Республики</c:v>
                </c:pt>
                <c:pt idx="24">
                  <c:v>Государственное агентство гражданской авиации при Кабинете министров Кыргызской Республики</c:v>
                </c:pt>
                <c:pt idx="25">
                  <c:v>Управление делами Президента Кыргызской Республики</c:v>
                </c:pt>
                <c:pt idx="26">
                  <c:v>Министерство иностранных дел Кыргызской Республики</c:v>
                </c:pt>
                <c:pt idx="27">
                  <c:v>Государственное агентство физической культуры и спорта при Кабинете министров Кыргызской Республики</c:v>
                </c:pt>
                <c:pt idx="28">
                  <c:v>Министерство обороны Кыргызской Республики</c:v>
                </c:pt>
                <c:pt idx="29">
                  <c:v>Министерство чрезвычайных ситуаций Кыргызской Республики</c:v>
                </c:pt>
                <c:pt idx="30">
                  <c:v>Аппараты Полномочных представителей Президента Кыргызской Республики</c:v>
                </c:pt>
                <c:pt idx="31">
                  <c:v>Исполнительные органы местного самоуправления городов областно</c:v>
                </c:pt>
                <c:pt idx="32">
                  <c:v>Местные государственные администрации</c:v>
                </c:pt>
              </c:strCache>
            </c:strRef>
          </c:cat>
          <c:val>
            <c:numRef>
              <c:f>'Графики-рейтинг (1полуг.206)'!$E$105:$E$137</c:f>
              <c:numCache>
                <c:formatCode>###0.0</c:formatCode>
                <c:ptCount val="33"/>
                <c:pt idx="0">
                  <c:v>21.9</c:v>
                </c:pt>
                <c:pt idx="1">
                  <c:v>23.6</c:v>
                </c:pt>
                <c:pt idx="2">
                  <c:v>26.9</c:v>
                </c:pt>
                <c:pt idx="3">
                  <c:v>29.7</c:v>
                </c:pt>
                <c:pt idx="4">
                  <c:v>32.6</c:v>
                </c:pt>
                <c:pt idx="5">
                  <c:v>33.200000000000003</c:v>
                </c:pt>
                <c:pt idx="6">
                  <c:v>34</c:v>
                </c:pt>
                <c:pt idx="7">
                  <c:v>34.299999999999997</c:v>
                </c:pt>
                <c:pt idx="8">
                  <c:v>34.6</c:v>
                </c:pt>
                <c:pt idx="9">
                  <c:v>35.299999999999997</c:v>
                </c:pt>
                <c:pt idx="10">
                  <c:v>35.799999999999997</c:v>
                </c:pt>
                <c:pt idx="11">
                  <c:v>36</c:v>
                </c:pt>
                <c:pt idx="12">
                  <c:v>36.1</c:v>
                </c:pt>
                <c:pt idx="13">
                  <c:v>37.299999999999997</c:v>
                </c:pt>
                <c:pt idx="14">
                  <c:v>37.4</c:v>
                </c:pt>
                <c:pt idx="15">
                  <c:v>38</c:v>
                </c:pt>
                <c:pt idx="16">
                  <c:v>39.299999999999997</c:v>
                </c:pt>
                <c:pt idx="17">
                  <c:v>40</c:v>
                </c:pt>
                <c:pt idx="18">
                  <c:v>40.799999999999997</c:v>
                </c:pt>
                <c:pt idx="19">
                  <c:v>41.2</c:v>
                </c:pt>
                <c:pt idx="20">
                  <c:v>41.6</c:v>
                </c:pt>
                <c:pt idx="21">
                  <c:v>42</c:v>
                </c:pt>
                <c:pt idx="22">
                  <c:v>42.7</c:v>
                </c:pt>
                <c:pt idx="23">
                  <c:v>44.9</c:v>
                </c:pt>
                <c:pt idx="24">
                  <c:v>45.4</c:v>
                </c:pt>
                <c:pt idx="25">
                  <c:v>47.1</c:v>
                </c:pt>
                <c:pt idx="26">
                  <c:v>47.2</c:v>
                </c:pt>
                <c:pt idx="27">
                  <c:v>48.2</c:v>
                </c:pt>
                <c:pt idx="28">
                  <c:v>50.6</c:v>
                </c:pt>
                <c:pt idx="29">
                  <c:v>53.4</c:v>
                </c:pt>
                <c:pt idx="30">
                  <c:v>57</c:v>
                </c:pt>
                <c:pt idx="31">
                  <c:v>57.2</c:v>
                </c:pt>
                <c:pt idx="32">
                  <c:v>57.6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1BD-497B-82AC-BFF0DF3965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549439480"/>
        <c:axId val="549438304"/>
      </c:barChart>
      <c:catAx>
        <c:axId val="549439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G"/>
          </a:p>
        </c:txPr>
        <c:crossAx val="549438304"/>
        <c:crosses val="autoZero"/>
        <c:auto val="1"/>
        <c:lblAlgn val="l"/>
        <c:lblOffset val="100"/>
        <c:noMultiLvlLbl val="0"/>
      </c:catAx>
      <c:valAx>
        <c:axId val="54943830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crossAx val="549439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G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Индекс "Оценка деятельности", I полугодие 2026г.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KG"/>
        </a:p>
      </c:txPr>
    </c:title>
    <c:autoTitleDeleted val="0"/>
    <c:plotArea>
      <c:layout>
        <c:manualLayout>
          <c:layoutTarget val="inner"/>
          <c:xMode val="edge"/>
          <c:yMode val="edge"/>
          <c:x val="0.49185972922715626"/>
          <c:y val="7.7604501363331857E-2"/>
          <c:w val="0.49634881826708199"/>
          <c:h val="0.9079744108475775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'Графики-рейтинг (1полуг.206)'!$F$153</c:f>
              <c:strCache>
                <c:ptCount val="1"/>
                <c:pt idx="0">
                  <c:v>ИОД 4</c:v>
                </c:pt>
              </c:strCache>
            </c:strRef>
          </c:tx>
          <c:spPr>
            <a:solidFill>
              <a:srgbClr val="648FC4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2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C35-48E9-811D-CB5C489B9CD9}"/>
              </c:ext>
            </c:extLst>
          </c:dPt>
          <c:dPt>
            <c:idx val="13"/>
            <c:invertIfNegative val="0"/>
            <c:bubble3D val="0"/>
            <c:spPr>
              <a:solidFill>
                <a:srgbClr val="648FC4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C35-48E9-811D-CB5C489B9CD9}"/>
              </c:ext>
            </c:extLst>
          </c:dPt>
          <c:dPt>
            <c:idx val="14"/>
            <c:invertIfNegative val="0"/>
            <c:bubble3D val="0"/>
            <c:spPr>
              <a:solidFill>
                <a:srgbClr val="6792C5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C35-48E9-811D-CB5C489B9CD9}"/>
              </c:ext>
            </c:extLst>
          </c:dPt>
          <c:dPt>
            <c:idx val="15"/>
            <c:invertIfNegative val="0"/>
            <c:bubble3D val="0"/>
            <c:spPr>
              <a:solidFill>
                <a:srgbClr val="6792C5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EC35-48E9-811D-CB5C489B9CD9}"/>
              </c:ext>
            </c:extLst>
          </c:dPt>
          <c:dPt>
            <c:idx val="1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EC35-48E9-811D-CB5C489B9CD9}"/>
              </c:ext>
            </c:extLst>
          </c:dPt>
          <c:dLbls>
            <c:dLbl>
              <c:idx val="13"/>
              <c:layout>
                <c:manualLayout>
                  <c:x val="1.160592775958805E-3"/>
                  <c:y val="5.5956417441041508E-3"/>
                </c:manualLayout>
              </c:layout>
              <c:tx>
                <c:rich>
                  <a:bodyPr rot="0" spcFirstLastPara="1" vertOverflow="ellipsis" vert="horz" wrap="square" anchor="ctr" anchorCtr="0"/>
                  <a:lstStyle/>
                  <a:p>
                    <a:pPr algn="ctr">
                      <a:defRPr lang="en-US" sz="10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34B2DCFE-9C93-4C39-8342-563C5F23228E}" type="VALUE">
                      <a:rPr lang="en-US">
                        <a:solidFill>
                          <a:sysClr val="windowText" lastClr="000000"/>
                        </a:solidFill>
                      </a:rPr>
                      <a:pPr algn="ctr">
                        <a:defRPr lang="en-US" sz="1000" b="1">
                          <a:solidFill>
                            <a:srgbClr val="FF000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0"/>
                <a:lstStyle/>
                <a:p>
                  <a:pPr algn="ctr">
                    <a:defRPr lang="en-US" sz="10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C35-48E9-811D-CB5C489B9CD9}"/>
                </c:ext>
              </c:extLst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C35-48E9-811D-CB5C489B9CD9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9A726CE6-05DA-4CD0-B2B9-96734FB427B0}" type="VALUE">
                      <a:rPr lang="en-US">
                        <a:solidFill>
                          <a:srgbClr val="FF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C35-48E9-811D-CB5C489B9C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'Графики-рейтинг (1полуг.206)'!$B$154:$B$186</c:f>
              <c:strCache>
                <c:ptCount val="33"/>
                <c:pt idx="0">
                  <c:v>Министерство природных ресурсов, экологии и технического надзора Кыргызской Республики</c:v>
                </c:pt>
                <c:pt idx="1">
                  <c:v>Министерство строительства, архитектуры и жилищно-коммунального хозяйства Кыргызской Республики</c:v>
                </c:pt>
                <c:pt idx="2">
                  <c:v>Министерство здравоохранения Кыргызской Республики</c:v>
                </c:pt>
                <c:pt idx="3">
                  <c:v>Министерство труда, социального обеспечения и миграции Кыргызской Республики</c:v>
                </c:pt>
                <c:pt idx="4">
                  <c:v>Министерство водных ресурсов, сельского хозяйства и перерабатывающей промышленности КР</c:v>
                </c:pt>
                <c:pt idx="5">
                  <c:v>Государственное агентство по управлению государственным имуществом при Кабинете министров Кыргызской Республики</c:v>
                </c:pt>
                <c:pt idx="6">
                  <c:v>Государственная таможенная служба при Кабинете министров Кыргызской Республики</c:v>
                </c:pt>
                <c:pt idx="7">
                  <c:v>Министерство науки, высшего образования и инноваций Кыргызской Республики</c:v>
                </c:pt>
                <c:pt idx="8">
                  <c:v>Национальное агентство по инвестициям при Президенте Кыргызской Республики</c:v>
                </c:pt>
                <c:pt idx="9">
                  <c:v>Министерство экономики и коммерции Кыргызской Республики</c:v>
                </c:pt>
                <c:pt idx="10">
                  <c:v>Министерство финансов Кыргызской Республики</c:v>
                </c:pt>
                <c:pt idx="11">
                  <c:v>Министерство энергетики Кыргызской Республики</c:v>
                </c:pt>
                <c:pt idx="12">
                  <c:v>Государственная налоговая служба при Кабинете министров Кыргызской Республики</c:v>
                </c:pt>
                <c:pt idx="13">
                  <c:v>Государственное агентство по защите персональных данных  при Кабинете министров Кыргызской Республики</c:v>
                </c:pt>
                <c:pt idx="14">
                  <c:v>Министерство транспорта и коммуникаций Кыргызской Республики</c:v>
                </c:pt>
                <c:pt idx="15">
                  <c:v>Министерство юстиции Кыргызской Республики</c:v>
                </c:pt>
                <c:pt idx="16">
                  <c:v>Государственное агентство по делам государственной службы и местного самоуправления при Кабинете министров Кыргызской Республики</c:v>
                </c:pt>
                <c:pt idx="17">
                  <c:v>Кыргызская Республика</c:v>
                </c:pt>
                <c:pt idx="18">
                  <c:v>Министерство внутренних дел Кыргызской Республики</c:v>
                </c:pt>
                <c:pt idx="19">
                  <c:v>Министерство просвещения Кыргызской Республики</c:v>
                </c:pt>
                <c:pt idx="20">
                  <c:v>Социальный фонд Кыргызской Республики при Кабинете министров Кыргызской Республики</c:v>
                </c:pt>
                <c:pt idx="21">
                  <c:v>Государственное агентство по развитию туризма при Кабинете министров Кыргызской Республики</c:v>
                </c:pt>
                <c:pt idx="22">
                  <c:v>Министерство иностранных дел Кыргызской Республики</c:v>
                </c:pt>
                <c:pt idx="23">
                  <c:v>Министерство культуры, информации и молодежной политики Кыргызской Республики</c:v>
                </c:pt>
                <c:pt idx="24">
                  <c:v>Государственное агентство гражданской авиации при Кабинете министров Кыргызской Республики</c:v>
                </c:pt>
                <c:pt idx="25">
                  <c:v>Исполнительные органы местного самоуправления  Кыргызской Республики</c:v>
                </c:pt>
                <c:pt idx="26">
                  <c:v>Управление делами Президента Кыргызской Республики</c:v>
                </c:pt>
                <c:pt idx="27">
                  <c:v>Государственное агентство физической культуры и спорта при Кабинете министров Кыргызской Республики</c:v>
                </c:pt>
                <c:pt idx="28">
                  <c:v>Министерство обороны Кыргызской Республики</c:v>
                </c:pt>
                <c:pt idx="29">
                  <c:v>Министерство чрезвычайных ситуаций Кыргызской Республики</c:v>
                </c:pt>
                <c:pt idx="30">
                  <c:v>Исполнительные органы местного самоуправления городов областно</c:v>
                </c:pt>
                <c:pt idx="31">
                  <c:v>Местные государственные администрации</c:v>
                </c:pt>
                <c:pt idx="32">
                  <c:v>Аппараты Полномочных представителей Президента Кыргызской Республики</c:v>
                </c:pt>
              </c:strCache>
            </c:strRef>
          </c:cat>
          <c:val>
            <c:numRef>
              <c:f>'Графики-рейтинг (1полуг.206)'!$F$154:$F$186</c:f>
              <c:numCache>
                <c:formatCode>###0.0</c:formatCode>
                <c:ptCount val="33"/>
                <c:pt idx="0">
                  <c:v>35.1</c:v>
                </c:pt>
                <c:pt idx="1">
                  <c:v>36.5</c:v>
                </c:pt>
                <c:pt idx="2">
                  <c:v>36.700000000000003</c:v>
                </c:pt>
                <c:pt idx="3">
                  <c:v>37.200000000000003</c:v>
                </c:pt>
                <c:pt idx="4">
                  <c:v>37.4</c:v>
                </c:pt>
                <c:pt idx="5">
                  <c:v>37.6</c:v>
                </c:pt>
                <c:pt idx="6">
                  <c:v>39.299999999999997</c:v>
                </c:pt>
                <c:pt idx="7">
                  <c:v>39.6</c:v>
                </c:pt>
                <c:pt idx="8">
                  <c:v>40.799999999999997</c:v>
                </c:pt>
                <c:pt idx="9">
                  <c:v>41.8</c:v>
                </c:pt>
                <c:pt idx="10">
                  <c:v>42</c:v>
                </c:pt>
                <c:pt idx="11">
                  <c:v>42.3</c:v>
                </c:pt>
                <c:pt idx="12">
                  <c:v>42.4</c:v>
                </c:pt>
                <c:pt idx="13">
                  <c:v>43.5</c:v>
                </c:pt>
                <c:pt idx="14">
                  <c:v>43.8</c:v>
                </c:pt>
                <c:pt idx="15">
                  <c:v>44.6</c:v>
                </c:pt>
                <c:pt idx="16">
                  <c:v>44.6</c:v>
                </c:pt>
                <c:pt idx="17">
                  <c:v>45</c:v>
                </c:pt>
                <c:pt idx="18">
                  <c:v>45.5</c:v>
                </c:pt>
                <c:pt idx="19">
                  <c:v>45.9</c:v>
                </c:pt>
                <c:pt idx="20">
                  <c:v>46.2</c:v>
                </c:pt>
                <c:pt idx="21">
                  <c:v>46.3</c:v>
                </c:pt>
                <c:pt idx="22">
                  <c:v>48.8</c:v>
                </c:pt>
                <c:pt idx="23">
                  <c:v>48.9</c:v>
                </c:pt>
                <c:pt idx="24">
                  <c:v>49.7</c:v>
                </c:pt>
                <c:pt idx="25">
                  <c:v>49.8</c:v>
                </c:pt>
                <c:pt idx="26">
                  <c:v>51.3</c:v>
                </c:pt>
                <c:pt idx="27">
                  <c:v>52.5</c:v>
                </c:pt>
                <c:pt idx="28">
                  <c:v>54.9</c:v>
                </c:pt>
                <c:pt idx="29">
                  <c:v>56.7</c:v>
                </c:pt>
                <c:pt idx="30">
                  <c:v>59.1</c:v>
                </c:pt>
                <c:pt idx="31">
                  <c:v>59.1</c:v>
                </c:pt>
                <c:pt idx="32">
                  <c:v>60.5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C35-48E9-811D-CB5C489B9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axId val="545548592"/>
        <c:axId val="545544672"/>
      </c:barChart>
      <c:catAx>
        <c:axId val="545548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G"/>
          </a:p>
        </c:txPr>
        <c:crossAx val="545544672"/>
        <c:crosses val="autoZero"/>
        <c:auto val="1"/>
        <c:lblAlgn val="l"/>
        <c:lblOffset val="100"/>
        <c:noMultiLvlLbl val="0"/>
      </c:catAx>
      <c:valAx>
        <c:axId val="5455446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crossAx val="545548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 Narrow" panose="020B0606020202030204" pitchFamily="34" charset="0"/>
        </a:defRPr>
      </a:pPr>
      <a:endParaRPr lang="ru-K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Samohleb</dc:creator>
  <cp:keywords/>
  <dc:description/>
  <cp:lastModifiedBy>Мейли Шаршенбекова</cp:lastModifiedBy>
  <cp:revision>9</cp:revision>
  <cp:lastPrinted>2026-01-23T03:43:00Z</cp:lastPrinted>
  <dcterms:created xsi:type="dcterms:W3CDTF">2022-07-27T04:59:00Z</dcterms:created>
  <dcterms:modified xsi:type="dcterms:W3CDTF">2026-07-28T12:18:00Z</dcterms:modified>
</cp:coreProperties>
</file>