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08C" w:rsidRPr="00A93697" w:rsidRDefault="00D3108C" w:rsidP="00D3108C">
      <w:pPr>
        <w:pStyle w:val="tkTekst"/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93697">
        <w:rPr>
          <w:rFonts w:ascii="Times New Roman" w:hAnsi="Times New Roman" w:cs="Times New Roman"/>
          <w:sz w:val="28"/>
          <w:szCs w:val="28"/>
        </w:rPr>
        <w:t>6-тиркеме</w:t>
      </w:r>
    </w:p>
    <w:p w:rsidR="00D3108C" w:rsidRPr="007946EE" w:rsidRDefault="00D3108C" w:rsidP="00D3108C">
      <w:pPr>
        <w:pStyle w:val="tkTekst"/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3108C" w:rsidRDefault="00D3108C" w:rsidP="00742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2025-жылы </w:t>
      </w:r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өткөрүлүүчү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айыл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чарба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каттоосун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а</w:t>
      </w:r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даярд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ык көрүү</w:t>
      </w:r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жана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өткөрүү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мезгилинде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иштеген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жылдары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үчүн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үстөктөрдү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жана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кызматтык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маяналарды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төлөө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үчүн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борбордук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аппараттын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жана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аймактык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статистика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органдарынын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кызматкерлеринин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эмгек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стажын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эсептөөнүн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тартиби</w:t>
      </w:r>
      <w:proofErr w:type="spellEnd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b/>
          <w:bCs/>
          <w:sz w:val="28"/>
          <w:szCs w:val="28"/>
        </w:rPr>
        <w:t>жөнүндө</w:t>
      </w:r>
      <w:proofErr w:type="spellEnd"/>
    </w:p>
    <w:p w:rsidR="00D3108C" w:rsidRDefault="00D3108C" w:rsidP="00742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ЖОБО</w:t>
      </w:r>
    </w:p>
    <w:p w:rsidR="00D3108C" w:rsidRPr="00A35ADA" w:rsidRDefault="00D3108C" w:rsidP="00D310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3108C" w:rsidRPr="00A35ADA" w:rsidRDefault="00D3108C" w:rsidP="002B06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Бул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Жобо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2025</w:t>
      </w:r>
      <w:r>
        <w:rPr>
          <w:rFonts w:ascii="Times New Roman" w:eastAsia="Times New Roman" w:hAnsi="Times New Roman"/>
          <w:sz w:val="28"/>
          <w:szCs w:val="28"/>
          <w:lang w:val="ky-KG"/>
        </w:rPr>
        <w:t>-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жылы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каттоосун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даярдоо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өткөрүү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мезгилинде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Кыргыз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Республикасынын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Улуттук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статистика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комитетинин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борбордук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аппаратынын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аймактык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статистика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органдарынын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кызматкерлеринин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мындан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ары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Pr="00AD4266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кызматкерлер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иштеген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жылдары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үчүн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кызматтык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маянасына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үстөк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акыларды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төлөө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үчүн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иш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стажын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эсептөөнүн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тартибин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</w:rPr>
        <w:t>аныктайт</w:t>
      </w:r>
      <w:proofErr w:type="spellEnd"/>
      <w:r w:rsidRPr="00A35ADA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3108C" w:rsidRPr="00A35ADA" w:rsidRDefault="00D3108C" w:rsidP="002B06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жылдары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кызматтык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маянасына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ай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сайын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пайыздык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үстөк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алууга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укук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ерген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кызматкерлердин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стажы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төмөнкүдөй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мөөнөттөрдү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камтыйт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3108C" w:rsidRPr="00A35ADA" w:rsidRDefault="00D3108C" w:rsidP="002B0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Республикасынын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Улуттук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статистика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комитетинин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борбордук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аппаратында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ошондой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аймактык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органдарда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ведомствого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караштуу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статистика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органдарында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мезгили</w:t>
      </w:r>
      <w:proofErr w:type="spellEnd"/>
      <w:r w:rsidRPr="00AD426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3108C" w:rsidRDefault="00D3108C" w:rsidP="002B0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Анык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мөөнөттүү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аскердик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кызматтын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убактысы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108C" w:rsidRPr="00A35ADA" w:rsidRDefault="00D3108C" w:rsidP="002B06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Мамлекеттик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жарандык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кызматка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биринчи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жол</w:t>
      </w:r>
      <w:bookmarkStart w:id="0" w:name="_GoBack"/>
      <w:bookmarkEnd w:id="0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кирген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иш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стажы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болбогон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адамдарга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жылдары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үстөк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акы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алууга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укук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бер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 w:eastAsia="ru-RU"/>
        </w:rPr>
        <w:t>үүчү</w:t>
      </w:r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стаж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ы ал</w:t>
      </w:r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ишке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 w:eastAsia="ru-RU"/>
        </w:rPr>
        <w:t>ка</w:t>
      </w:r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кирген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күндөн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тартып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эсептелет</w:t>
      </w:r>
      <w:proofErr w:type="spellEnd"/>
      <w:r w:rsidRPr="00A35A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A32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3108C" w:rsidRPr="00A35ADA" w:rsidRDefault="00D3108C" w:rsidP="002B0670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Эгерде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кызматчынын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иштеген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жылдары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үчүн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үстөк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акыны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дайындоо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же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өлчөмүн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өзгөртүү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укугу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ал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кезектеги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же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кошумча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өргүүдө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болгон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мезгилде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ошондой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эле ал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убактылуу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эмгекке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жарамсыз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мезгилде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кел</w:t>
      </w:r>
      <w:r>
        <w:rPr>
          <w:rFonts w:ascii="Times New Roman" w:eastAsia="Times New Roman" w:hAnsi="Times New Roman"/>
          <w:sz w:val="28"/>
          <w:szCs w:val="28"/>
        </w:rPr>
        <w:t>ип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чыкса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үстөк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акыны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дайындоо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A4F8C">
        <w:rPr>
          <w:rFonts w:ascii="Times New Roman" w:eastAsia="Times New Roman" w:hAnsi="Times New Roman"/>
          <w:sz w:val="28"/>
          <w:szCs w:val="28"/>
        </w:rPr>
        <w:t xml:space="preserve">же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анын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өлчөмүн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өзгөртүү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укугу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келген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учурдан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тартып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жүргүзүлөт</w:t>
      </w:r>
      <w:proofErr w:type="spellEnd"/>
      <w:r w:rsidRPr="00A35ADA">
        <w:rPr>
          <w:rFonts w:ascii="Times New Roman" w:eastAsia="Times New Roman" w:hAnsi="Times New Roman"/>
          <w:sz w:val="28"/>
          <w:szCs w:val="28"/>
        </w:rPr>
        <w:t>.</w:t>
      </w:r>
    </w:p>
    <w:p w:rsidR="00D3108C" w:rsidRDefault="00D3108C" w:rsidP="002B067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Үстөк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акыны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дайындоо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Кыргыз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Республикасынын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Улуттук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статистика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комитетинин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буйругунун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негизинде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</w:rPr>
        <w:t>жүргүзүлөт</w:t>
      </w:r>
      <w:proofErr w:type="spellEnd"/>
      <w:r w:rsidRPr="002A4F8C">
        <w:rPr>
          <w:rFonts w:ascii="Times New Roman" w:eastAsia="Times New Roman" w:hAnsi="Times New Roman"/>
          <w:sz w:val="28"/>
          <w:szCs w:val="28"/>
        </w:rPr>
        <w:t>.</w:t>
      </w:r>
    </w:p>
    <w:p w:rsidR="00D3108C" w:rsidRDefault="00D3108C" w:rsidP="002B067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жылдары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кызматтык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янага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айлык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пайыздык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үстөк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акынын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өлчөмү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К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омиссия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тарабынан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аныкталат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анын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курамы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Республикасынын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Улуттук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статистика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комитетинин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буйругу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менен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бекитилет</w:t>
      </w:r>
      <w:proofErr w:type="spellEnd"/>
      <w:r w:rsidRPr="002A4F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108C" w:rsidRPr="007263A4" w:rsidRDefault="00D3108C" w:rsidP="002B0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жылдары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кызматтык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маянага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ар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айлык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пайыздык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үстөк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акынын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өлчөмү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эмгек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китепчесиндеги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жазуулардын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негизинде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аныкталат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Андай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жазуу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жок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болсо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туура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эмес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же так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эмес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болсо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анда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эмгек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стажын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тастыктоо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маалымкаттар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буйруктардан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көчүрмөлөр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өздүк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эсептер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эмгек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акы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жөнүндө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ведомосттордон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көчүрмөлөр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иштеген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мезгили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жөнүндө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маалыматтарды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камтыган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башка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документтер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кабыл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алынат</w:t>
      </w:r>
      <w:proofErr w:type="spellEnd"/>
      <w:r w:rsidRPr="007263A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108C" w:rsidRDefault="00D3108C" w:rsidP="002B0670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lastRenderedPageBreak/>
        <w:t>8</w:t>
      </w:r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.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Кыргыз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Республикасынын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Улуттук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статистика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комитетинин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борбордук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аппаратынын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,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статистиканын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аймактык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жана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ведомстволук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органдарынын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D4AE7">
        <w:rPr>
          <w:rFonts w:ascii="Times New Roman" w:hAnsi="Times New Roman" w:cs="Times New Roman"/>
          <w:b w:val="0"/>
          <w:bCs w:val="0"/>
          <w:sz w:val="28"/>
          <w:szCs w:val="28"/>
          <w:lang w:val="ky-KG" w:eastAsia="en-US"/>
        </w:rPr>
        <w:t>айыл чарба каттоосуна</w:t>
      </w:r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даярдык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көрүү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жана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өткөрүү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мезгилинде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иштеген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жылдары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үчүн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үстөк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акынын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өлчөмүн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өз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убагында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кароо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үчүн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жоопкерчилик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персоналды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башкаруу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бөлүмүнө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же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персоналды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башкаруу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маселелери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боюнча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ыйгарым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укуктуу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адамдарга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жүктөлөт</w:t>
      </w:r>
      <w:proofErr w:type="spellEnd"/>
      <w:r w:rsidRPr="007263A4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D3108C" w:rsidRDefault="00D3108C" w:rsidP="002B0670">
      <w:pPr>
        <w:pStyle w:val="tkNazvanie"/>
        <w:spacing w:before="0" w:after="0" w:line="24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D3108C" w:rsidRDefault="00D3108C" w:rsidP="00D3108C">
      <w:pPr>
        <w:pStyle w:val="tkNazvanie"/>
        <w:spacing w:before="0" w:after="0" w:line="240" w:lineRule="auto"/>
        <w:ind w:left="0" w:right="0" w:firstLine="142"/>
        <w:rPr>
          <w:rFonts w:ascii="Times New Roman" w:hAnsi="Times New Roman" w:cs="Times New Roman"/>
          <w:sz w:val="28"/>
          <w:szCs w:val="28"/>
        </w:rPr>
      </w:pPr>
      <w:r w:rsidRPr="007263A4">
        <w:rPr>
          <w:rFonts w:ascii="Times New Roman" w:hAnsi="Times New Roman" w:cs="Times New Roman"/>
          <w:sz w:val="28"/>
          <w:szCs w:val="28"/>
        </w:rPr>
        <w:t xml:space="preserve">2027-жылдын 31-декабрына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ки мезгилге</w:t>
      </w:r>
      <w:r w:rsidRPr="007263A4">
        <w:rPr>
          <w:rFonts w:ascii="Times New Roman" w:hAnsi="Times New Roman" w:cs="Times New Roman"/>
          <w:sz w:val="28"/>
          <w:szCs w:val="28"/>
        </w:rPr>
        <w:t xml:space="preserve"> 2025-жылы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өткөрүлүүчү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айыл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каттоосу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уюштуруу-методологиялык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ишти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камсыз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кылуучу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кызматкерлерге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иштеген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жылдары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пайыздык</w:t>
      </w:r>
      <w:proofErr w:type="spellEnd"/>
      <w:r w:rsidRPr="00726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3A4">
        <w:rPr>
          <w:rFonts w:ascii="Times New Roman" w:hAnsi="Times New Roman" w:cs="Times New Roman"/>
          <w:sz w:val="28"/>
          <w:szCs w:val="28"/>
        </w:rPr>
        <w:t>кошумча</w:t>
      </w:r>
      <w:r>
        <w:rPr>
          <w:rFonts w:ascii="Times New Roman" w:hAnsi="Times New Roman" w:cs="Times New Roman"/>
          <w:sz w:val="28"/>
          <w:szCs w:val="28"/>
        </w:rPr>
        <w:t>лардын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өлчөмү</w:t>
      </w:r>
      <w:proofErr w:type="spellEnd"/>
    </w:p>
    <w:p w:rsidR="00D3108C" w:rsidRPr="00A35ADA" w:rsidRDefault="00D3108C" w:rsidP="00D3108C">
      <w:pPr>
        <w:pStyle w:val="tkNazvanie"/>
        <w:spacing w:before="0" w:after="0" w:line="240" w:lineRule="auto"/>
        <w:ind w:left="0" w:right="0" w:firstLine="142"/>
        <w:rPr>
          <w:rFonts w:ascii="Times New Roman" w:hAnsi="Times New Roman" w:cs="Times New Roman"/>
          <w:sz w:val="28"/>
          <w:szCs w:val="28"/>
        </w:rPr>
      </w:pPr>
    </w:p>
    <w:tbl>
      <w:tblPr>
        <w:tblW w:w="487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4745"/>
        <w:gridCol w:w="3844"/>
      </w:tblGrid>
      <w:tr w:rsidR="00D3108C" w:rsidRPr="00A35ADA" w:rsidTr="002B0670"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Иш</w:t>
            </w:r>
            <w:proofErr w:type="spellEnd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стажы</w:t>
            </w:r>
            <w:proofErr w:type="spellEnd"/>
          </w:p>
        </w:tc>
        <w:tc>
          <w:tcPr>
            <w:tcW w:w="20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Пайыздык</w:t>
            </w:r>
            <w:proofErr w:type="spellEnd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кошумчалардын</w:t>
            </w:r>
            <w:proofErr w:type="spellEnd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өлчөмү</w:t>
            </w:r>
            <w:proofErr w:type="spellEnd"/>
            <w:r w:rsidRPr="00A35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(%)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15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20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3108C" w:rsidRPr="00A35ADA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жылга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чейин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3108C" w:rsidRPr="00B33032" w:rsidTr="002B0670"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A35ADA" w:rsidRDefault="00D3108C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жылдан</w:t>
            </w:r>
            <w:proofErr w:type="spellEnd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266">
              <w:rPr>
                <w:rFonts w:ascii="Times New Roman" w:hAnsi="Times New Roman" w:cs="Times New Roman"/>
                <w:sz w:val="28"/>
                <w:szCs w:val="28"/>
              </w:rPr>
              <w:t>жогору</w:t>
            </w:r>
            <w:proofErr w:type="spellEnd"/>
          </w:p>
        </w:tc>
        <w:tc>
          <w:tcPr>
            <w:tcW w:w="2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08C" w:rsidRPr="00D9243B" w:rsidRDefault="00D3108C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D3108C" w:rsidRPr="00B33032" w:rsidRDefault="00D3108C" w:rsidP="00D3108C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3032">
        <w:rPr>
          <w:rFonts w:ascii="Times New Roman" w:hAnsi="Times New Roman" w:cs="Times New Roman"/>
          <w:sz w:val="28"/>
          <w:szCs w:val="28"/>
        </w:rPr>
        <w:t> </w:t>
      </w: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08C" w:rsidRPr="00B33032" w:rsidRDefault="00D3108C" w:rsidP="00D31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3BE0" w:rsidRDefault="007423CF"/>
    <w:sectPr w:rsidR="00BC3B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CF9" w:rsidRDefault="00325CF9" w:rsidP="00D3108C">
      <w:pPr>
        <w:spacing w:after="0" w:line="240" w:lineRule="auto"/>
      </w:pPr>
      <w:r>
        <w:separator/>
      </w:r>
    </w:p>
  </w:endnote>
  <w:endnote w:type="continuationSeparator" w:id="0">
    <w:p w:rsidR="00325CF9" w:rsidRDefault="00325CF9" w:rsidP="00D3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08C" w:rsidRDefault="00D3108C" w:rsidP="00D3108C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D3108C" w:rsidRDefault="00D3108C" w:rsidP="00D3108C">
    <w:pPr>
      <w:pStyle w:val="a5"/>
      <w:tabs>
        <w:tab w:val="left" w:pos="1305"/>
      </w:tabs>
    </w:pPr>
    <w:r w:rsidRPr="00B51CB9">
      <w:rPr>
        <w:rFonts w:ascii="Times New Roman" w:hAnsi="Times New Roman"/>
        <w:lang w:val="ky-KG"/>
      </w:rPr>
      <w:t>“___”__________2023</w:t>
    </w:r>
    <w:r>
      <w:rPr>
        <w:rFonts w:ascii="Times New Roman" w:hAnsi="Times New Roman"/>
        <w:lang w:val="ky-KG"/>
      </w:rPr>
      <w:t>-жыл</w:t>
    </w:r>
    <w:r>
      <w:tab/>
    </w:r>
  </w:p>
  <w:p w:rsidR="00D3108C" w:rsidRDefault="00D310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CF9" w:rsidRDefault="00325CF9" w:rsidP="00D3108C">
      <w:pPr>
        <w:spacing w:after="0" w:line="240" w:lineRule="auto"/>
      </w:pPr>
      <w:r>
        <w:separator/>
      </w:r>
    </w:p>
  </w:footnote>
  <w:footnote w:type="continuationSeparator" w:id="0">
    <w:p w:rsidR="00325CF9" w:rsidRDefault="00325CF9" w:rsidP="00D31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A719D"/>
    <w:multiLevelType w:val="hybridMultilevel"/>
    <w:tmpl w:val="1AFC80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C1BFB"/>
    <w:multiLevelType w:val="hybridMultilevel"/>
    <w:tmpl w:val="C85CEB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8C"/>
    <w:rsid w:val="002B0670"/>
    <w:rsid w:val="0030566F"/>
    <w:rsid w:val="00325CF9"/>
    <w:rsid w:val="007423CF"/>
    <w:rsid w:val="00D3108C"/>
    <w:rsid w:val="00E4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60329-CCB7-4F1E-B581-0B3ED7AD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3108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3108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3108C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08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0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Анара Кудакеева</cp:lastModifiedBy>
  <cp:revision>3</cp:revision>
  <dcterms:created xsi:type="dcterms:W3CDTF">2023-11-13T10:02:00Z</dcterms:created>
  <dcterms:modified xsi:type="dcterms:W3CDTF">2023-11-28T12:01:00Z</dcterms:modified>
</cp:coreProperties>
</file>